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452D" w14:textId="77777777" w:rsidR="00B33B88" w:rsidRPr="00B33B88" w:rsidRDefault="00B33B88" w:rsidP="00647496">
      <w:pPr>
        <w:widowControl w:val="0"/>
        <w:spacing w:line="264" w:lineRule="auto"/>
        <w:rPr>
          <w:rFonts w:ascii="Arial" w:hAnsi="Arial" w:cs="Arial"/>
          <w:b/>
          <w:sz w:val="44"/>
          <w:szCs w:val="44"/>
          <w:highlight w:val="white"/>
        </w:rPr>
      </w:pPr>
      <w:r>
        <w:rPr>
          <w:rFonts w:ascii="Arial" w:hAnsi="Arial" w:cs="Arial"/>
          <w:b/>
          <w:sz w:val="44"/>
          <w:szCs w:val="44"/>
          <w:highlight w:val="white"/>
        </w:rPr>
        <w:t>Involving the P</w:t>
      </w:r>
      <w:r w:rsidRPr="00B33B88">
        <w:rPr>
          <w:rFonts w:ascii="Arial" w:hAnsi="Arial" w:cs="Arial"/>
          <w:b/>
          <w:sz w:val="44"/>
          <w:szCs w:val="44"/>
          <w:highlight w:val="white"/>
        </w:rPr>
        <w:t xml:space="preserve">ublic in </w:t>
      </w:r>
      <w:r>
        <w:rPr>
          <w:rFonts w:ascii="Arial" w:hAnsi="Arial" w:cs="Arial"/>
          <w:b/>
          <w:sz w:val="44"/>
          <w:szCs w:val="44"/>
          <w:highlight w:val="white"/>
        </w:rPr>
        <w:t>o</w:t>
      </w:r>
      <w:r w:rsidRPr="00B33B88">
        <w:rPr>
          <w:rFonts w:ascii="Arial" w:hAnsi="Arial" w:cs="Arial"/>
          <w:b/>
          <w:sz w:val="44"/>
          <w:szCs w:val="44"/>
          <w:highlight w:val="white"/>
        </w:rPr>
        <w:t xml:space="preserve">ur </w:t>
      </w:r>
      <w:r>
        <w:rPr>
          <w:rFonts w:ascii="Arial" w:hAnsi="Arial" w:cs="Arial"/>
          <w:b/>
          <w:sz w:val="44"/>
          <w:szCs w:val="44"/>
          <w:highlight w:val="white"/>
        </w:rPr>
        <w:t>Research</w:t>
      </w:r>
    </w:p>
    <w:p w14:paraId="5AEAA896" w14:textId="77777777" w:rsidR="00B33B88" w:rsidRDefault="00B33B88" w:rsidP="00647496">
      <w:pPr>
        <w:widowControl w:val="0"/>
        <w:spacing w:line="264" w:lineRule="auto"/>
        <w:rPr>
          <w:rFonts w:ascii="Arial" w:hAnsi="Arial" w:cs="Arial"/>
          <w:sz w:val="26"/>
          <w:szCs w:val="26"/>
          <w:highlight w:val="white"/>
        </w:rPr>
      </w:pPr>
    </w:p>
    <w:p w14:paraId="77526924" w14:textId="77777777" w:rsidR="00647496" w:rsidRPr="00D873D6" w:rsidRDefault="00647496" w:rsidP="00647496">
      <w:pPr>
        <w:widowControl w:val="0"/>
        <w:spacing w:line="264" w:lineRule="auto"/>
        <w:rPr>
          <w:rFonts w:ascii="Arial" w:hAnsi="Arial" w:cs="Arial"/>
          <w:highlight w:val="white"/>
        </w:rPr>
      </w:pPr>
      <w:r w:rsidRPr="00D873D6">
        <w:rPr>
          <w:rFonts w:ascii="Arial" w:hAnsi="Arial" w:cs="Arial"/>
          <w:highlight w:val="white"/>
        </w:rPr>
        <w:t>Patients and the public are at the heart of our vision to improve the health and well-being of people across Wessex</w:t>
      </w:r>
      <w:r w:rsidRPr="00D873D6">
        <w:rPr>
          <w:rStyle w:val="EndnoteReference"/>
          <w:rFonts w:ascii="Arial" w:hAnsi="Arial" w:cs="Arial"/>
          <w:highlight w:val="white"/>
        </w:rPr>
        <w:endnoteReference w:id="1"/>
      </w:r>
      <w:r w:rsidRPr="00D873D6">
        <w:rPr>
          <w:rFonts w:ascii="Arial" w:hAnsi="Arial" w:cs="Arial"/>
          <w:highlight w:val="white"/>
        </w:rPr>
        <w:t xml:space="preserve">. The knowledge, experiences and support of patients and the public are essential to ensure that our research goals and solutions are relevant, prevent waste, and bring the greatest possible benefits to society. </w:t>
      </w:r>
    </w:p>
    <w:p w14:paraId="2F988470" w14:textId="77777777" w:rsidR="00647496" w:rsidRPr="00D873D6" w:rsidRDefault="00647496" w:rsidP="00647496">
      <w:pPr>
        <w:widowControl w:val="0"/>
        <w:spacing w:before="320" w:line="264" w:lineRule="auto"/>
        <w:rPr>
          <w:rFonts w:ascii="Arial" w:hAnsi="Arial" w:cs="Arial"/>
          <w:highlight w:val="white"/>
        </w:rPr>
      </w:pPr>
      <w:r w:rsidRPr="00D873D6">
        <w:rPr>
          <w:rFonts w:ascii="Arial" w:hAnsi="Arial" w:cs="Arial"/>
          <w:highlight w:val="white"/>
        </w:rPr>
        <w:t>We use the terms involvement</w:t>
      </w:r>
      <w:r w:rsidRPr="00D873D6">
        <w:rPr>
          <w:rStyle w:val="EndnoteReference"/>
          <w:rFonts w:ascii="Arial" w:hAnsi="Arial" w:cs="Arial"/>
          <w:highlight w:val="white"/>
        </w:rPr>
        <w:endnoteReference w:id="2"/>
      </w:r>
      <w:r w:rsidRPr="00D873D6">
        <w:rPr>
          <w:rFonts w:ascii="Arial" w:hAnsi="Arial" w:cs="Arial"/>
          <w:highlight w:val="white"/>
        </w:rPr>
        <w:t xml:space="preserve">  and engagement</w:t>
      </w:r>
      <w:r w:rsidRPr="00D873D6">
        <w:rPr>
          <w:rStyle w:val="EndnoteReference"/>
          <w:rFonts w:ascii="Arial" w:hAnsi="Arial" w:cs="Arial"/>
          <w:highlight w:val="white"/>
        </w:rPr>
        <w:endnoteReference w:id="3"/>
      </w:r>
      <w:r w:rsidRPr="00D873D6">
        <w:rPr>
          <w:rFonts w:ascii="Arial" w:hAnsi="Arial" w:cs="Arial"/>
          <w:highlight w:val="white"/>
        </w:rPr>
        <w:t xml:space="preserve"> to describe activities that aim to prioritise the public voice in our health and social care research. We aim to deliver high quality public involvement and engagement for health and social care.</w:t>
      </w:r>
    </w:p>
    <w:p w14:paraId="091D87FE" w14:textId="77777777" w:rsidR="00647496" w:rsidRPr="00D873D6" w:rsidRDefault="00647496" w:rsidP="00647496">
      <w:pPr>
        <w:rPr>
          <w:rFonts w:ascii="Arial" w:hAnsi="Arial" w:cs="Arial"/>
        </w:rPr>
      </w:pPr>
    </w:p>
    <w:p w14:paraId="4CF6E3CE" w14:textId="77777777" w:rsidR="00647496" w:rsidRPr="00D873D6" w:rsidRDefault="00647496" w:rsidP="00647496">
      <w:pPr>
        <w:widowControl w:val="0"/>
        <w:spacing w:line="264" w:lineRule="auto"/>
        <w:rPr>
          <w:rFonts w:ascii="Arial" w:hAnsi="Arial" w:cs="Arial"/>
          <w:highlight w:val="white"/>
        </w:rPr>
      </w:pPr>
      <w:r w:rsidRPr="00D873D6">
        <w:rPr>
          <w:rFonts w:ascii="Arial" w:hAnsi="Arial" w:cs="Arial"/>
          <w:highlight w:val="white"/>
        </w:rPr>
        <w:t xml:space="preserve">This document summarises our ambitions and gives a few examples of activities we will deliver in our first year (April 2021-March 2022). </w:t>
      </w:r>
    </w:p>
    <w:p w14:paraId="368E2915" w14:textId="77777777" w:rsidR="00647496" w:rsidRPr="00D873D6" w:rsidRDefault="00647496" w:rsidP="00647496">
      <w:pPr>
        <w:rPr>
          <w:rFonts w:ascii="Arial" w:hAnsi="Arial" w:cs="Arial"/>
          <w:i/>
          <w:strik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7"/>
        <w:gridCol w:w="2163"/>
      </w:tblGrid>
      <w:tr w:rsidR="00D873D6" w:rsidRPr="00647496" w14:paraId="726D085D" w14:textId="77777777" w:rsidTr="003B30C4">
        <w:tc>
          <w:tcPr>
            <w:tcW w:w="6847" w:type="dxa"/>
          </w:tcPr>
          <w:p w14:paraId="06CADCE7" w14:textId="29459E9B" w:rsidR="00D873D6" w:rsidRPr="00D873D6" w:rsidRDefault="00D873D6" w:rsidP="00F71FEB">
            <w:pPr>
              <w:spacing w:before="120" w:after="120"/>
              <w:rPr>
                <w:rFonts w:ascii="Arial" w:hAnsi="Arial" w:cs="Arial"/>
                <w:b/>
                <w:color w:val="4C2A94"/>
                <w:sz w:val="24"/>
                <w:szCs w:val="24"/>
              </w:rPr>
            </w:pPr>
            <w:r w:rsidRPr="00D873D6">
              <w:rPr>
                <w:rFonts w:ascii="Arial" w:hAnsi="Arial" w:cs="Arial"/>
                <w:b/>
                <w:color w:val="4C2A94"/>
                <w:sz w:val="24"/>
                <w:szCs w:val="24"/>
              </w:rPr>
              <w:t xml:space="preserve">We listen to voices relevant to our research priorities </w:t>
            </w:r>
            <w:r w:rsidR="009E4A24">
              <w:rPr>
                <w:rFonts w:ascii="Arial" w:hAnsi="Arial" w:cs="Arial"/>
                <w:b/>
                <w:color w:val="4C2A94"/>
                <w:sz w:val="24"/>
                <w:szCs w:val="24"/>
              </w:rPr>
              <w:t>that reflect</w:t>
            </w:r>
            <w:r w:rsidRPr="00D873D6">
              <w:rPr>
                <w:rFonts w:ascii="Arial" w:hAnsi="Arial" w:cs="Arial"/>
                <w:b/>
                <w:color w:val="4C2A94"/>
                <w:sz w:val="24"/>
                <w:szCs w:val="24"/>
              </w:rPr>
              <w:t xml:space="preserve"> the diversity of the local population – ensuring the underserved</w:t>
            </w:r>
            <w:r w:rsidRPr="00D873D6">
              <w:rPr>
                <w:rStyle w:val="EndnoteReference"/>
                <w:rFonts w:ascii="Arial" w:hAnsi="Arial" w:cs="Arial"/>
                <w:b/>
                <w:color w:val="4C2A94"/>
                <w:sz w:val="24"/>
                <w:szCs w:val="24"/>
              </w:rPr>
              <w:endnoteReference w:id="4"/>
            </w:r>
            <w:r w:rsidRPr="00D873D6">
              <w:rPr>
                <w:rFonts w:ascii="Arial" w:hAnsi="Arial" w:cs="Arial"/>
                <w:b/>
                <w:color w:val="4C2A94"/>
                <w:sz w:val="24"/>
                <w:szCs w:val="24"/>
              </w:rPr>
              <w:t xml:space="preserve"> have a voice</w:t>
            </w:r>
            <w:r w:rsidR="009E4A24">
              <w:rPr>
                <w:rFonts w:ascii="Arial" w:hAnsi="Arial" w:cs="Arial"/>
                <w:b/>
                <w:color w:val="4C2A94"/>
                <w:sz w:val="24"/>
                <w:szCs w:val="24"/>
              </w:rPr>
              <w:t>.</w:t>
            </w:r>
            <w:r w:rsidRPr="00D873D6">
              <w:rPr>
                <w:rFonts w:ascii="Arial" w:hAnsi="Arial" w:cs="Arial"/>
                <w:b/>
                <w:color w:val="4C2A94"/>
                <w:sz w:val="24"/>
                <w:szCs w:val="24"/>
              </w:rPr>
              <w:t xml:space="preserve"> </w:t>
            </w:r>
          </w:p>
          <w:p w14:paraId="2F894E54" w14:textId="77777777" w:rsidR="00D873D6" w:rsidRPr="00D873D6" w:rsidRDefault="00D873D6" w:rsidP="00F71FEB">
            <w:pPr>
              <w:pBdr>
                <w:top w:val="nil"/>
                <w:left w:val="nil"/>
                <w:bottom w:val="nil"/>
                <w:right w:val="nil"/>
                <w:between w:val="nil"/>
              </w:pBdr>
              <w:spacing w:after="120" w:line="259" w:lineRule="auto"/>
              <w:rPr>
                <w:rFonts w:ascii="Arial" w:hAnsi="Arial" w:cs="Arial"/>
                <w:color w:val="000000"/>
                <w:sz w:val="24"/>
                <w:szCs w:val="24"/>
              </w:rPr>
            </w:pPr>
            <w:r w:rsidRPr="00D873D6">
              <w:rPr>
                <w:rFonts w:ascii="Arial" w:hAnsi="Arial" w:cs="Arial"/>
                <w:color w:val="000000"/>
                <w:sz w:val="24"/>
                <w:szCs w:val="24"/>
              </w:rPr>
              <w:t>This year we will:</w:t>
            </w:r>
          </w:p>
          <w:p w14:paraId="418EC023" w14:textId="0E2160ED" w:rsidR="00D873D6" w:rsidRPr="00D873D6" w:rsidRDefault="00D873D6" w:rsidP="00D873D6">
            <w:pPr>
              <w:pStyle w:val="ListParagraph"/>
              <w:numPr>
                <w:ilvl w:val="0"/>
                <w:numId w:val="3"/>
              </w:numPr>
              <w:pBdr>
                <w:top w:val="nil"/>
                <w:left w:val="nil"/>
                <w:bottom w:val="nil"/>
                <w:right w:val="nil"/>
                <w:between w:val="nil"/>
              </w:pBdr>
              <w:spacing w:after="120" w:line="259" w:lineRule="auto"/>
              <w:rPr>
                <w:color w:val="000000"/>
                <w:sz w:val="24"/>
                <w:szCs w:val="24"/>
              </w:rPr>
            </w:pPr>
            <w:r w:rsidRPr="00D873D6">
              <w:rPr>
                <w:color w:val="000000"/>
                <w:sz w:val="24"/>
                <w:szCs w:val="24"/>
              </w:rPr>
              <w:t>Work with the leads of each project starting in 2021 to identify who is underserved in the context of each project. We will prioritise the voices of these underserved groups in our involvement activities.</w:t>
            </w:r>
          </w:p>
          <w:p w14:paraId="1C6DCD78" w14:textId="77777777" w:rsidR="00D873D6" w:rsidRPr="00D873D6" w:rsidRDefault="00D873D6" w:rsidP="00D873D6">
            <w:pPr>
              <w:pStyle w:val="ListParagraph"/>
              <w:numPr>
                <w:ilvl w:val="0"/>
                <w:numId w:val="3"/>
              </w:numPr>
              <w:pBdr>
                <w:top w:val="nil"/>
                <w:left w:val="nil"/>
                <w:bottom w:val="nil"/>
                <w:right w:val="nil"/>
                <w:between w:val="nil"/>
              </w:pBdr>
              <w:spacing w:after="120" w:line="259" w:lineRule="auto"/>
              <w:rPr>
                <w:color w:val="000000"/>
                <w:sz w:val="24"/>
                <w:szCs w:val="24"/>
              </w:rPr>
            </w:pPr>
            <w:r w:rsidRPr="00D873D6">
              <w:rPr>
                <w:color w:val="000000"/>
                <w:sz w:val="24"/>
                <w:szCs w:val="24"/>
              </w:rPr>
              <w:t>Publish guidance documents on how to improve virtual meeting accessibility.</w:t>
            </w:r>
          </w:p>
        </w:tc>
        <w:tc>
          <w:tcPr>
            <w:tcW w:w="2163" w:type="dxa"/>
            <w:vAlign w:val="center"/>
          </w:tcPr>
          <w:p w14:paraId="3B702466" w14:textId="77777777" w:rsidR="00D873D6" w:rsidRPr="00647496" w:rsidRDefault="00D873D6" w:rsidP="00F71FEB">
            <w:pPr>
              <w:jc w:val="center"/>
              <w:rPr>
                <w:rFonts w:ascii="Arial" w:hAnsi="Arial" w:cs="Arial"/>
              </w:rPr>
            </w:pPr>
            <w:r w:rsidRPr="00647496">
              <w:rPr>
                <w:rFonts w:ascii="Arial" w:hAnsi="Arial" w:cs="Arial"/>
                <w:noProof/>
                <w:lang w:eastAsia="en-GB"/>
              </w:rPr>
              <w:drawing>
                <wp:inline distT="0" distB="0" distL="0" distR="0" wp14:anchorId="4F4208F5" wp14:editId="335E71CD">
                  <wp:extent cx="720000" cy="720000"/>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p w14:paraId="5831328C" w14:textId="77777777" w:rsidR="00D873D6" w:rsidRPr="00647496" w:rsidRDefault="00D873D6" w:rsidP="00F71FEB">
            <w:pPr>
              <w:jc w:val="center"/>
              <w:rPr>
                <w:rFonts w:ascii="Arial" w:hAnsi="Arial" w:cs="Arial"/>
              </w:rPr>
            </w:pPr>
            <w:r w:rsidRPr="00647496">
              <w:rPr>
                <w:rFonts w:ascii="Arial" w:hAnsi="Arial" w:cs="Arial"/>
                <w:b/>
                <w:color w:val="4C2A94"/>
                <w:sz w:val="24"/>
                <w:szCs w:val="24"/>
              </w:rPr>
              <w:t>Inclusive Opportunities</w:t>
            </w:r>
          </w:p>
        </w:tc>
      </w:tr>
      <w:tr w:rsidR="00D873D6" w:rsidRPr="00647496" w14:paraId="7F46B513" w14:textId="77777777" w:rsidTr="003B30C4">
        <w:tc>
          <w:tcPr>
            <w:tcW w:w="6847" w:type="dxa"/>
          </w:tcPr>
          <w:p w14:paraId="5BE6BA04" w14:textId="3190133B" w:rsidR="00D873D6" w:rsidRPr="00D873D6" w:rsidRDefault="00D873D6" w:rsidP="00F71FEB">
            <w:pPr>
              <w:spacing w:before="120" w:after="120"/>
              <w:rPr>
                <w:rFonts w:ascii="Arial" w:hAnsi="Arial" w:cs="Arial"/>
                <w:b/>
                <w:color w:val="EF6B34"/>
                <w:sz w:val="24"/>
                <w:szCs w:val="24"/>
              </w:rPr>
            </w:pPr>
            <w:r w:rsidRPr="00D873D6">
              <w:rPr>
                <w:rFonts w:ascii="Arial" w:hAnsi="Arial" w:cs="Arial"/>
                <w:b/>
                <w:color w:val="EF6B34"/>
                <w:sz w:val="24"/>
                <w:szCs w:val="24"/>
              </w:rPr>
              <w:t>We have a culture that respects different perspectives, values contributions and supports mutually respectful and productive relationships</w:t>
            </w:r>
            <w:r w:rsidR="009E4A24">
              <w:rPr>
                <w:rFonts w:ascii="Arial" w:hAnsi="Arial" w:cs="Arial"/>
                <w:b/>
                <w:color w:val="EF6B34"/>
                <w:sz w:val="24"/>
                <w:szCs w:val="24"/>
              </w:rPr>
              <w:t>.</w:t>
            </w:r>
          </w:p>
          <w:p w14:paraId="3D7B0A63" w14:textId="77777777" w:rsidR="00D873D6" w:rsidRPr="00D873D6" w:rsidRDefault="00D873D6" w:rsidP="00F71FEB">
            <w:pPr>
              <w:pBdr>
                <w:top w:val="nil"/>
                <w:left w:val="nil"/>
                <w:bottom w:val="nil"/>
                <w:right w:val="nil"/>
                <w:between w:val="nil"/>
              </w:pBdr>
              <w:spacing w:after="160" w:line="259" w:lineRule="auto"/>
              <w:rPr>
                <w:rFonts w:ascii="Arial" w:hAnsi="Arial" w:cs="Arial"/>
                <w:color w:val="000000"/>
                <w:sz w:val="24"/>
                <w:szCs w:val="24"/>
              </w:rPr>
            </w:pPr>
            <w:r w:rsidRPr="00D873D6">
              <w:rPr>
                <w:rFonts w:ascii="Arial" w:hAnsi="Arial" w:cs="Arial"/>
                <w:color w:val="000000"/>
                <w:sz w:val="24"/>
                <w:szCs w:val="24"/>
              </w:rPr>
              <w:t>This year we will:</w:t>
            </w:r>
          </w:p>
          <w:p w14:paraId="344A5720" w14:textId="77777777" w:rsidR="00D873D6" w:rsidRPr="00D873D6" w:rsidRDefault="00D873D6" w:rsidP="00D873D6">
            <w:pPr>
              <w:pStyle w:val="ListParagraph"/>
              <w:numPr>
                <w:ilvl w:val="0"/>
                <w:numId w:val="4"/>
              </w:numPr>
              <w:pBdr>
                <w:top w:val="nil"/>
                <w:left w:val="nil"/>
                <w:bottom w:val="nil"/>
                <w:right w:val="nil"/>
                <w:between w:val="nil"/>
              </w:pBdr>
              <w:spacing w:after="160" w:line="259" w:lineRule="auto"/>
              <w:rPr>
                <w:color w:val="000000"/>
                <w:sz w:val="24"/>
                <w:szCs w:val="24"/>
              </w:rPr>
            </w:pPr>
            <w:r w:rsidRPr="00D873D6">
              <w:rPr>
                <w:color w:val="000000"/>
                <w:sz w:val="24"/>
                <w:szCs w:val="24"/>
              </w:rPr>
              <w:t xml:space="preserve">Work with our public members to develop and trial approaches to blending face-to-face and virtual activities as we adapt to changing social distancing restrictions. </w:t>
            </w:r>
          </w:p>
          <w:p w14:paraId="22FD3454" w14:textId="77777777" w:rsidR="00D873D6" w:rsidRPr="00D873D6" w:rsidRDefault="00D873D6" w:rsidP="00D873D6">
            <w:pPr>
              <w:pStyle w:val="ListParagraph"/>
              <w:numPr>
                <w:ilvl w:val="0"/>
                <w:numId w:val="4"/>
              </w:numPr>
              <w:pBdr>
                <w:top w:val="nil"/>
                <w:left w:val="nil"/>
                <w:bottom w:val="nil"/>
                <w:right w:val="nil"/>
                <w:between w:val="nil"/>
              </w:pBdr>
              <w:spacing w:after="160" w:line="259" w:lineRule="auto"/>
              <w:rPr>
                <w:color w:val="000000"/>
                <w:sz w:val="24"/>
                <w:szCs w:val="24"/>
              </w:rPr>
            </w:pPr>
            <w:r w:rsidRPr="00D873D6">
              <w:rPr>
                <w:color w:val="000000"/>
                <w:sz w:val="24"/>
                <w:szCs w:val="24"/>
              </w:rPr>
              <w:t xml:space="preserve">Develop induction materials that outline the support structures available in ARC Wessex for involvement and engagement activities. </w:t>
            </w:r>
          </w:p>
        </w:tc>
        <w:tc>
          <w:tcPr>
            <w:tcW w:w="2163" w:type="dxa"/>
            <w:vAlign w:val="center"/>
          </w:tcPr>
          <w:p w14:paraId="66CD3BDA" w14:textId="77777777" w:rsidR="00D873D6" w:rsidRPr="00647496" w:rsidRDefault="00D873D6" w:rsidP="003B30C4">
            <w:pPr>
              <w:jc w:val="center"/>
              <w:rPr>
                <w:rFonts w:ascii="Arial" w:hAnsi="Arial" w:cs="Arial"/>
                <w:b/>
                <w:sz w:val="24"/>
                <w:szCs w:val="24"/>
              </w:rPr>
            </w:pPr>
            <w:r w:rsidRPr="00647496">
              <w:rPr>
                <w:rFonts w:ascii="Arial" w:hAnsi="Arial" w:cs="Arial"/>
                <w:noProof/>
                <w:lang w:eastAsia="en-GB"/>
              </w:rPr>
              <w:drawing>
                <wp:inline distT="0" distB="0" distL="0" distR="0" wp14:anchorId="4940944C" wp14:editId="4D8604BF">
                  <wp:extent cx="720000" cy="7200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720000" cy="720000"/>
                          </a:xfrm>
                          <a:prstGeom prst="rect">
                            <a:avLst/>
                          </a:prstGeom>
                          <a:ln/>
                        </pic:spPr>
                      </pic:pic>
                    </a:graphicData>
                  </a:graphic>
                </wp:inline>
              </w:drawing>
            </w:r>
          </w:p>
          <w:p w14:paraId="6A7E0305" w14:textId="77777777" w:rsidR="00D873D6" w:rsidRPr="00647496" w:rsidRDefault="00D873D6" w:rsidP="003B30C4">
            <w:pPr>
              <w:spacing w:after="160"/>
              <w:jc w:val="center"/>
              <w:rPr>
                <w:rFonts w:ascii="Arial" w:hAnsi="Arial" w:cs="Arial"/>
                <w:b/>
                <w:sz w:val="24"/>
                <w:szCs w:val="24"/>
              </w:rPr>
            </w:pPr>
            <w:r w:rsidRPr="00647496">
              <w:rPr>
                <w:rFonts w:ascii="Arial" w:hAnsi="Arial" w:cs="Arial"/>
                <w:b/>
                <w:color w:val="EF6B34"/>
                <w:sz w:val="24"/>
                <w:szCs w:val="24"/>
              </w:rPr>
              <w:t>Working Together</w:t>
            </w:r>
          </w:p>
        </w:tc>
      </w:tr>
      <w:tr w:rsidR="00D873D6" w:rsidRPr="00647496" w14:paraId="14F3E923" w14:textId="77777777" w:rsidTr="003B30C4">
        <w:tc>
          <w:tcPr>
            <w:tcW w:w="6847" w:type="dxa"/>
          </w:tcPr>
          <w:p w14:paraId="569D8712" w14:textId="499A9DCE" w:rsidR="00D873D6" w:rsidRPr="00D873D6" w:rsidRDefault="00D873D6" w:rsidP="00F71FEB">
            <w:pPr>
              <w:spacing w:before="120" w:after="120"/>
              <w:rPr>
                <w:rFonts w:ascii="Arial" w:hAnsi="Arial" w:cs="Arial"/>
                <w:b/>
                <w:color w:val="41ABE7"/>
                <w:sz w:val="24"/>
                <w:szCs w:val="24"/>
              </w:rPr>
            </w:pPr>
            <w:r w:rsidRPr="00D873D6">
              <w:rPr>
                <w:rFonts w:ascii="Arial" w:hAnsi="Arial" w:cs="Arial"/>
                <w:b/>
                <w:color w:val="41ABE7"/>
                <w:sz w:val="24"/>
                <w:szCs w:val="24"/>
              </w:rPr>
              <w:t>We capture, monitor and share our learnings</w:t>
            </w:r>
            <w:r w:rsidR="009E4A24">
              <w:rPr>
                <w:rFonts w:ascii="Arial" w:hAnsi="Arial" w:cs="Arial"/>
                <w:b/>
                <w:color w:val="41ABE7"/>
                <w:sz w:val="24"/>
                <w:szCs w:val="24"/>
              </w:rPr>
              <w:t>.</w:t>
            </w:r>
            <w:r w:rsidRPr="00D873D6">
              <w:rPr>
                <w:rFonts w:ascii="Arial" w:hAnsi="Arial" w:cs="Arial"/>
                <w:b/>
                <w:color w:val="41ABE7"/>
                <w:sz w:val="24"/>
                <w:szCs w:val="24"/>
              </w:rPr>
              <w:t xml:space="preserve"> </w:t>
            </w:r>
          </w:p>
          <w:p w14:paraId="7453B067" w14:textId="77777777" w:rsidR="00D873D6" w:rsidRPr="00D873D6" w:rsidRDefault="00D873D6" w:rsidP="00F71FEB">
            <w:pPr>
              <w:pBdr>
                <w:top w:val="nil"/>
                <w:left w:val="nil"/>
                <w:bottom w:val="nil"/>
                <w:right w:val="nil"/>
                <w:between w:val="nil"/>
              </w:pBdr>
              <w:spacing w:after="120" w:line="259" w:lineRule="auto"/>
              <w:rPr>
                <w:rFonts w:ascii="Arial" w:hAnsi="Arial" w:cs="Arial"/>
                <w:color w:val="000000"/>
                <w:sz w:val="24"/>
                <w:szCs w:val="24"/>
              </w:rPr>
            </w:pPr>
            <w:r w:rsidRPr="00D873D6">
              <w:rPr>
                <w:rFonts w:ascii="Arial" w:hAnsi="Arial" w:cs="Arial"/>
                <w:color w:val="000000"/>
                <w:sz w:val="24"/>
                <w:szCs w:val="24"/>
              </w:rPr>
              <w:t>This year we will:</w:t>
            </w:r>
          </w:p>
          <w:p w14:paraId="49A34AB7" w14:textId="04436270" w:rsidR="00D873D6" w:rsidRPr="00D873D6" w:rsidRDefault="00D873D6" w:rsidP="00D873D6">
            <w:pPr>
              <w:pStyle w:val="ListParagraph"/>
              <w:numPr>
                <w:ilvl w:val="0"/>
                <w:numId w:val="6"/>
              </w:numPr>
              <w:pBdr>
                <w:top w:val="nil"/>
                <w:left w:val="nil"/>
                <w:bottom w:val="nil"/>
                <w:right w:val="nil"/>
                <w:between w:val="nil"/>
              </w:pBdr>
              <w:spacing w:after="120" w:line="259" w:lineRule="auto"/>
              <w:rPr>
                <w:color w:val="000000"/>
                <w:sz w:val="24"/>
                <w:szCs w:val="24"/>
              </w:rPr>
            </w:pPr>
            <w:r w:rsidRPr="00D873D6">
              <w:rPr>
                <w:color w:val="000000"/>
                <w:sz w:val="24"/>
                <w:szCs w:val="24"/>
              </w:rPr>
              <w:t>Adapt a</w:t>
            </w:r>
            <w:r w:rsidR="005431DF">
              <w:rPr>
                <w:color w:val="000000"/>
                <w:sz w:val="24"/>
                <w:szCs w:val="24"/>
              </w:rPr>
              <w:t>n</w:t>
            </w:r>
            <w:r w:rsidRPr="00D873D6">
              <w:rPr>
                <w:color w:val="000000"/>
                <w:sz w:val="24"/>
                <w:szCs w:val="24"/>
              </w:rPr>
              <w:t xml:space="preserve"> involvement impact tool so we can use it to monitor the impact of our activities.</w:t>
            </w:r>
          </w:p>
        </w:tc>
        <w:tc>
          <w:tcPr>
            <w:tcW w:w="2163" w:type="dxa"/>
            <w:vAlign w:val="center"/>
          </w:tcPr>
          <w:p w14:paraId="18762C85" w14:textId="77777777" w:rsidR="00D873D6" w:rsidRPr="00647496" w:rsidRDefault="00D873D6" w:rsidP="00F71FEB">
            <w:pPr>
              <w:jc w:val="center"/>
              <w:rPr>
                <w:rFonts w:ascii="Arial" w:hAnsi="Arial" w:cs="Arial"/>
                <w:b/>
                <w:sz w:val="24"/>
                <w:szCs w:val="24"/>
              </w:rPr>
            </w:pPr>
            <w:r w:rsidRPr="00647496">
              <w:rPr>
                <w:rFonts w:ascii="Arial" w:hAnsi="Arial" w:cs="Arial"/>
                <w:noProof/>
                <w:lang w:eastAsia="en-GB"/>
              </w:rPr>
              <w:drawing>
                <wp:inline distT="0" distB="0" distL="0" distR="0" wp14:anchorId="2970E4C3" wp14:editId="6B04CA5B">
                  <wp:extent cx="720000" cy="7200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720000" cy="720000"/>
                          </a:xfrm>
                          <a:prstGeom prst="rect">
                            <a:avLst/>
                          </a:prstGeom>
                          <a:ln/>
                        </pic:spPr>
                      </pic:pic>
                    </a:graphicData>
                  </a:graphic>
                </wp:inline>
              </w:drawing>
            </w:r>
          </w:p>
          <w:p w14:paraId="08969C39" w14:textId="77777777" w:rsidR="00D873D6" w:rsidRPr="00647496" w:rsidRDefault="00D873D6" w:rsidP="00F71FEB">
            <w:pPr>
              <w:spacing w:after="160"/>
              <w:jc w:val="center"/>
              <w:rPr>
                <w:rFonts w:ascii="Arial" w:hAnsi="Arial" w:cs="Arial"/>
                <w:sz w:val="24"/>
                <w:szCs w:val="24"/>
              </w:rPr>
            </w:pPr>
            <w:r w:rsidRPr="00647496">
              <w:rPr>
                <w:rFonts w:ascii="Arial" w:hAnsi="Arial" w:cs="Arial"/>
                <w:b/>
                <w:color w:val="41ABE7"/>
                <w:sz w:val="24"/>
                <w:szCs w:val="24"/>
              </w:rPr>
              <w:t>Impact</w:t>
            </w:r>
          </w:p>
        </w:tc>
      </w:tr>
      <w:tr w:rsidR="00D873D6" w:rsidRPr="00647496" w14:paraId="7E551CF5" w14:textId="77777777" w:rsidTr="003B30C4">
        <w:tc>
          <w:tcPr>
            <w:tcW w:w="6847" w:type="dxa"/>
          </w:tcPr>
          <w:p w14:paraId="6C43A08E" w14:textId="5AC74241" w:rsidR="00D873D6" w:rsidRPr="00D873D6" w:rsidRDefault="00D873D6" w:rsidP="00D873D6">
            <w:pPr>
              <w:spacing w:after="120"/>
              <w:rPr>
                <w:rFonts w:ascii="Arial" w:hAnsi="Arial" w:cs="Arial"/>
                <w:color w:val="000000"/>
                <w:sz w:val="24"/>
                <w:szCs w:val="24"/>
                <w:shd w:val="clear" w:color="auto" w:fill="FF9900"/>
              </w:rPr>
            </w:pPr>
            <w:r w:rsidRPr="00D873D6">
              <w:rPr>
                <w:rFonts w:ascii="Arial" w:hAnsi="Arial" w:cs="Arial"/>
                <w:b/>
                <w:color w:val="FEDF22"/>
                <w:sz w:val="24"/>
                <w:szCs w:val="24"/>
              </w:rPr>
              <w:lastRenderedPageBreak/>
              <w:t xml:space="preserve">We provide </w:t>
            </w:r>
            <w:r w:rsidR="009E4A24">
              <w:rPr>
                <w:rFonts w:ascii="Arial" w:hAnsi="Arial" w:cs="Arial"/>
                <w:b/>
                <w:color w:val="FEDF22"/>
                <w:sz w:val="24"/>
                <w:szCs w:val="24"/>
              </w:rPr>
              <w:t xml:space="preserve">health </w:t>
            </w:r>
            <w:r w:rsidRPr="00D873D6">
              <w:rPr>
                <w:rFonts w:ascii="Arial" w:hAnsi="Arial" w:cs="Arial"/>
                <w:b/>
                <w:color w:val="FEDF22"/>
                <w:sz w:val="24"/>
                <w:szCs w:val="24"/>
              </w:rPr>
              <w:t>research communities of Wessex (including public) adequate PPI/E training, support and learning opportunities</w:t>
            </w:r>
            <w:r w:rsidR="009E4A24">
              <w:rPr>
                <w:rFonts w:ascii="Arial" w:hAnsi="Arial" w:cs="Arial"/>
                <w:b/>
                <w:color w:val="FEDF22"/>
                <w:sz w:val="24"/>
                <w:szCs w:val="24"/>
              </w:rPr>
              <w:t>.</w:t>
            </w:r>
            <w:r w:rsidRPr="00D873D6">
              <w:rPr>
                <w:rFonts w:ascii="Arial" w:hAnsi="Arial" w:cs="Arial"/>
                <w:b/>
                <w:color w:val="FEDF22"/>
                <w:sz w:val="24"/>
                <w:szCs w:val="24"/>
              </w:rPr>
              <w:t xml:space="preserve"> </w:t>
            </w:r>
          </w:p>
          <w:p w14:paraId="7973544E" w14:textId="77777777" w:rsidR="00D873D6" w:rsidRPr="00D873D6" w:rsidRDefault="00D873D6" w:rsidP="00D873D6">
            <w:pPr>
              <w:pBdr>
                <w:top w:val="nil"/>
                <w:left w:val="nil"/>
                <w:bottom w:val="nil"/>
                <w:right w:val="nil"/>
                <w:between w:val="nil"/>
              </w:pBdr>
              <w:spacing w:after="120" w:line="259" w:lineRule="auto"/>
              <w:rPr>
                <w:rFonts w:ascii="Arial" w:hAnsi="Arial" w:cs="Arial"/>
                <w:sz w:val="24"/>
                <w:szCs w:val="24"/>
              </w:rPr>
            </w:pPr>
            <w:r w:rsidRPr="00D873D6">
              <w:rPr>
                <w:rFonts w:ascii="Arial" w:hAnsi="Arial" w:cs="Arial"/>
                <w:sz w:val="24"/>
                <w:szCs w:val="24"/>
              </w:rPr>
              <w:t>This year we will:</w:t>
            </w:r>
          </w:p>
          <w:p w14:paraId="587623C1" w14:textId="77777777" w:rsidR="00D873D6" w:rsidRPr="00D873D6" w:rsidRDefault="00D873D6" w:rsidP="00D873D6">
            <w:pPr>
              <w:pStyle w:val="ListParagraph"/>
              <w:numPr>
                <w:ilvl w:val="0"/>
                <w:numId w:val="5"/>
              </w:numPr>
              <w:rPr>
                <w:sz w:val="24"/>
                <w:szCs w:val="24"/>
              </w:rPr>
            </w:pPr>
            <w:r w:rsidRPr="00D873D6">
              <w:rPr>
                <w:sz w:val="24"/>
                <w:szCs w:val="24"/>
              </w:rPr>
              <w:t xml:space="preserve">Develop a course supporting the public with their confidence contributing to virtual meetings. </w:t>
            </w:r>
          </w:p>
          <w:p w14:paraId="474680D9" w14:textId="77777777" w:rsidR="00D873D6" w:rsidRPr="00D873D6" w:rsidRDefault="00D873D6" w:rsidP="00D873D6">
            <w:pPr>
              <w:pStyle w:val="ListParagraph"/>
              <w:numPr>
                <w:ilvl w:val="0"/>
                <w:numId w:val="5"/>
              </w:numPr>
              <w:rPr>
                <w:sz w:val="24"/>
                <w:szCs w:val="24"/>
              </w:rPr>
            </w:pPr>
            <w:r w:rsidRPr="00D873D6">
              <w:rPr>
                <w:sz w:val="24"/>
                <w:szCs w:val="24"/>
              </w:rPr>
              <w:t xml:space="preserve">Evaluate a pilot mentorship scheme, where we paired new PhD students with a public partner to provide mentorship in involvement and engagement. </w:t>
            </w:r>
          </w:p>
          <w:p w14:paraId="76C9E796" w14:textId="77777777" w:rsidR="00D873D6" w:rsidRPr="00D873D6" w:rsidRDefault="00D873D6" w:rsidP="00D873D6">
            <w:pPr>
              <w:numPr>
                <w:ilvl w:val="0"/>
                <w:numId w:val="1"/>
              </w:numPr>
              <w:spacing w:after="120" w:line="276" w:lineRule="auto"/>
              <w:rPr>
                <w:rFonts w:ascii="Arial" w:hAnsi="Arial" w:cs="Arial"/>
                <w:sz w:val="24"/>
                <w:szCs w:val="24"/>
              </w:rPr>
            </w:pPr>
            <w:r w:rsidRPr="00D873D6">
              <w:rPr>
                <w:rFonts w:ascii="Arial" w:hAnsi="Arial" w:cs="Arial"/>
                <w:sz w:val="24"/>
                <w:szCs w:val="24"/>
              </w:rPr>
              <w:t xml:space="preserve">Deliver a training course focused on skills for public involvement to our researchers.  </w:t>
            </w:r>
          </w:p>
        </w:tc>
        <w:tc>
          <w:tcPr>
            <w:tcW w:w="2163" w:type="dxa"/>
            <w:vAlign w:val="center"/>
          </w:tcPr>
          <w:p w14:paraId="3AC64EC4" w14:textId="77777777" w:rsidR="00D873D6" w:rsidRPr="00647496" w:rsidRDefault="00D873D6" w:rsidP="00F71FEB">
            <w:pPr>
              <w:jc w:val="center"/>
              <w:rPr>
                <w:rFonts w:ascii="Arial" w:hAnsi="Arial" w:cs="Arial"/>
                <w:b/>
                <w:sz w:val="24"/>
                <w:szCs w:val="24"/>
              </w:rPr>
            </w:pPr>
            <w:r w:rsidRPr="00647496">
              <w:rPr>
                <w:rFonts w:ascii="Arial" w:hAnsi="Arial" w:cs="Arial"/>
                <w:noProof/>
                <w:lang w:eastAsia="en-GB"/>
              </w:rPr>
              <w:drawing>
                <wp:inline distT="0" distB="0" distL="0" distR="0" wp14:anchorId="31D3E3C5" wp14:editId="28D5C6D2">
                  <wp:extent cx="720000" cy="7200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720000" cy="720000"/>
                          </a:xfrm>
                          <a:prstGeom prst="rect">
                            <a:avLst/>
                          </a:prstGeom>
                          <a:ln/>
                        </pic:spPr>
                      </pic:pic>
                    </a:graphicData>
                  </a:graphic>
                </wp:inline>
              </w:drawing>
            </w:r>
          </w:p>
          <w:p w14:paraId="64C896FC" w14:textId="77777777" w:rsidR="00D873D6" w:rsidRPr="00647496" w:rsidRDefault="00D873D6" w:rsidP="00F71FEB">
            <w:pPr>
              <w:spacing w:after="160"/>
              <w:jc w:val="center"/>
              <w:rPr>
                <w:rFonts w:ascii="Arial" w:hAnsi="Arial" w:cs="Arial"/>
                <w:color w:val="FEDF22"/>
                <w:sz w:val="24"/>
                <w:szCs w:val="24"/>
              </w:rPr>
            </w:pPr>
            <w:r w:rsidRPr="00647496">
              <w:rPr>
                <w:rFonts w:ascii="Arial" w:hAnsi="Arial" w:cs="Arial"/>
                <w:b/>
                <w:color w:val="FEDF22"/>
                <w:sz w:val="24"/>
                <w:szCs w:val="24"/>
              </w:rPr>
              <w:t>Support and Learning</w:t>
            </w:r>
          </w:p>
        </w:tc>
      </w:tr>
      <w:tr w:rsidR="00D873D6" w:rsidRPr="00647496" w14:paraId="063CD0E6" w14:textId="77777777" w:rsidTr="003B30C4">
        <w:tc>
          <w:tcPr>
            <w:tcW w:w="6847" w:type="dxa"/>
          </w:tcPr>
          <w:p w14:paraId="2244D3EC" w14:textId="07A0C7D2" w:rsidR="00D873D6" w:rsidRPr="00D873D6" w:rsidRDefault="00D873D6" w:rsidP="00F71FEB">
            <w:pPr>
              <w:spacing w:before="120" w:after="120"/>
              <w:rPr>
                <w:rFonts w:ascii="Arial" w:hAnsi="Arial" w:cs="Arial"/>
                <w:b/>
                <w:color w:val="F746B0"/>
                <w:sz w:val="24"/>
                <w:szCs w:val="24"/>
              </w:rPr>
            </w:pPr>
            <w:r w:rsidRPr="00D873D6">
              <w:rPr>
                <w:rFonts w:ascii="Arial" w:hAnsi="Arial" w:cs="Arial"/>
                <w:b/>
                <w:color w:val="F746B0"/>
                <w:sz w:val="24"/>
                <w:szCs w:val="24"/>
              </w:rPr>
              <w:t>We use</w:t>
            </w:r>
            <w:r w:rsidRPr="00D873D6">
              <w:rPr>
                <w:rFonts w:ascii="Arial" w:hAnsi="Arial" w:cs="Arial"/>
                <w:color w:val="F746B0"/>
                <w:sz w:val="24"/>
                <w:szCs w:val="24"/>
              </w:rPr>
              <w:t xml:space="preserve"> </w:t>
            </w:r>
            <w:r w:rsidRPr="00D873D6">
              <w:rPr>
                <w:rFonts w:ascii="Arial" w:hAnsi="Arial" w:cs="Arial"/>
                <w:b/>
                <w:color w:val="F746B0"/>
                <w:sz w:val="24"/>
                <w:szCs w:val="24"/>
              </w:rPr>
              <w:t>innovative approaches and good communication to stimulate knowledge</w:t>
            </w:r>
            <w:r w:rsidR="009E4A24">
              <w:rPr>
                <w:rFonts w:ascii="Arial" w:hAnsi="Arial" w:cs="Arial"/>
                <w:b/>
                <w:color w:val="F746B0"/>
                <w:sz w:val="24"/>
                <w:szCs w:val="24"/>
              </w:rPr>
              <w:t>-</w:t>
            </w:r>
            <w:r w:rsidRPr="00D873D6">
              <w:rPr>
                <w:rFonts w:ascii="Arial" w:hAnsi="Arial" w:cs="Arial"/>
                <w:b/>
                <w:color w:val="F746B0"/>
                <w:sz w:val="24"/>
                <w:szCs w:val="24"/>
              </w:rPr>
              <w:t>of, and interest</w:t>
            </w:r>
            <w:r w:rsidR="009E4A24">
              <w:rPr>
                <w:rFonts w:ascii="Arial" w:hAnsi="Arial" w:cs="Arial"/>
                <w:b/>
                <w:color w:val="F746B0"/>
                <w:sz w:val="24"/>
                <w:szCs w:val="24"/>
              </w:rPr>
              <w:t>-</w:t>
            </w:r>
            <w:r w:rsidRPr="00D873D6">
              <w:rPr>
                <w:rFonts w:ascii="Arial" w:hAnsi="Arial" w:cs="Arial"/>
                <w:b/>
                <w:color w:val="F746B0"/>
                <w:sz w:val="24"/>
                <w:szCs w:val="24"/>
              </w:rPr>
              <w:t>in, our research</w:t>
            </w:r>
            <w:r w:rsidR="009E4A24">
              <w:rPr>
                <w:rFonts w:ascii="Arial" w:hAnsi="Arial" w:cs="Arial"/>
                <w:b/>
                <w:color w:val="F746B0"/>
                <w:sz w:val="24"/>
                <w:szCs w:val="24"/>
              </w:rPr>
              <w:t>.</w:t>
            </w:r>
          </w:p>
          <w:p w14:paraId="4582D462" w14:textId="77777777" w:rsidR="00D873D6" w:rsidRPr="00D873D6" w:rsidRDefault="00D873D6" w:rsidP="00F71FEB">
            <w:pPr>
              <w:pBdr>
                <w:top w:val="nil"/>
                <w:left w:val="nil"/>
                <w:bottom w:val="nil"/>
                <w:right w:val="nil"/>
                <w:between w:val="nil"/>
              </w:pBdr>
              <w:spacing w:after="120" w:line="259" w:lineRule="auto"/>
              <w:rPr>
                <w:rFonts w:ascii="Arial" w:hAnsi="Arial" w:cs="Arial"/>
                <w:sz w:val="24"/>
                <w:szCs w:val="24"/>
              </w:rPr>
            </w:pPr>
            <w:r w:rsidRPr="00D873D6">
              <w:rPr>
                <w:rFonts w:ascii="Arial" w:hAnsi="Arial" w:cs="Arial"/>
                <w:sz w:val="24"/>
                <w:szCs w:val="24"/>
              </w:rPr>
              <w:t>This year we will:</w:t>
            </w:r>
          </w:p>
          <w:p w14:paraId="471A90AA" w14:textId="2F812FC9" w:rsidR="00D873D6" w:rsidRPr="00D873D6" w:rsidRDefault="00D873D6" w:rsidP="002456BF">
            <w:pPr>
              <w:pStyle w:val="ListParagraph"/>
              <w:numPr>
                <w:ilvl w:val="0"/>
                <w:numId w:val="6"/>
              </w:numPr>
              <w:pBdr>
                <w:top w:val="nil"/>
                <w:left w:val="nil"/>
                <w:bottom w:val="nil"/>
                <w:right w:val="nil"/>
                <w:between w:val="nil"/>
              </w:pBdr>
              <w:spacing w:after="120" w:line="259" w:lineRule="auto"/>
              <w:rPr>
                <w:b/>
                <w:sz w:val="24"/>
                <w:szCs w:val="24"/>
              </w:rPr>
            </w:pPr>
            <w:r w:rsidRPr="00D873D6">
              <w:rPr>
                <w:sz w:val="24"/>
                <w:szCs w:val="24"/>
              </w:rPr>
              <w:t>Collect a baseline</w:t>
            </w:r>
            <w:r w:rsidR="002456BF">
              <w:rPr>
                <w:sz w:val="24"/>
                <w:szCs w:val="24"/>
              </w:rPr>
              <w:t xml:space="preserve"> </w:t>
            </w:r>
            <w:r w:rsidRPr="00D873D6">
              <w:rPr>
                <w:sz w:val="24"/>
                <w:szCs w:val="24"/>
              </w:rPr>
              <w:t xml:space="preserve">measurement </w:t>
            </w:r>
            <w:r w:rsidR="002456BF">
              <w:rPr>
                <w:sz w:val="24"/>
                <w:szCs w:val="24"/>
              </w:rPr>
              <w:t>(</w:t>
            </w:r>
            <w:proofErr w:type="spellStart"/>
            <w:proofErr w:type="gramStart"/>
            <w:r w:rsidR="002456BF">
              <w:rPr>
                <w:sz w:val="24"/>
                <w:szCs w:val="24"/>
              </w:rPr>
              <w:t>ie</w:t>
            </w:r>
            <w:proofErr w:type="spellEnd"/>
            <w:proofErr w:type="gramEnd"/>
            <w:r w:rsidR="002456BF">
              <w:rPr>
                <w:sz w:val="24"/>
                <w:szCs w:val="24"/>
              </w:rPr>
              <w:t xml:space="preserve"> starting position) </w:t>
            </w:r>
            <w:r w:rsidRPr="00D873D6">
              <w:rPr>
                <w:sz w:val="24"/>
                <w:szCs w:val="24"/>
              </w:rPr>
              <w:t>of how well feedback processes are embedded in our involvement and engagement activities. This</w:t>
            </w:r>
            <w:r w:rsidR="005431DF">
              <w:rPr>
                <w:sz w:val="24"/>
                <w:szCs w:val="24"/>
              </w:rPr>
              <w:t xml:space="preserve"> will</w:t>
            </w:r>
            <w:r w:rsidRPr="00D873D6">
              <w:rPr>
                <w:sz w:val="24"/>
                <w:szCs w:val="24"/>
              </w:rPr>
              <w:t xml:space="preserve"> include understanding how regularly public members are told what difference their contributions have made to research. </w:t>
            </w:r>
          </w:p>
        </w:tc>
        <w:tc>
          <w:tcPr>
            <w:tcW w:w="2163" w:type="dxa"/>
            <w:vAlign w:val="center"/>
          </w:tcPr>
          <w:p w14:paraId="612C9429" w14:textId="77777777" w:rsidR="00D873D6" w:rsidRPr="00647496" w:rsidRDefault="00D873D6" w:rsidP="00F71FEB">
            <w:pPr>
              <w:spacing w:after="160"/>
              <w:jc w:val="center"/>
              <w:rPr>
                <w:rFonts w:ascii="Arial" w:hAnsi="Arial" w:cs="Arial"/>
                <w:sz w:val="24"/>
                <w:szCs w:val="24"/>
              </w:rPr>
            </w:pPr>
            <w:r w:rsidRPr="00647496">
              <w:rPr>
                <w:rFonts w:ascii="Arial" w:hAnsi="Arial" w:cs="Arial"/>
                <w:noProof/>
                <w:lang w:eastAsia="en-GB"/>
              </w:rPr>
              <w:drawing>
                <wp:inline distT="0" distB="0" distL="0" distR="0" wp14:anchorId="2C39405B" wp14:editId="2B66A346">
                  <wp:extent cx="720000" cy="72000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720000" cy="720000"/>
                          </a:xfrm>
                          <a:prstGeom prst="rect">
                            <a:avLst/>
                          </a:prstGeom>
                          <a:ln/>
                        </pic:spPr>
                      </pic:pic>
                    </a:graphicData>
                  </a:graphic>
                </wp:inline>
              </w:drawing>
            </w:r>
            <w:r w:rsidRPr="00647496">
              <w:rPr>
                <w:rFonts w:ascii="Arial" w:hAnsi="Arial" w:cs="Arial"/>
                <w:b/>
                <w:color w:val="F746B0"/>
                <w:sz w:val="24"/>
                <w:szCs w:val="24"/>
              </w:rPr>
              <w:t>Communications</w:t>
            </w:r>
          </w:p>
        </w:tc>
      </w:tr>
      <w:tr w:rsidR="00D873D6" w:rsidRPr="00647496" w14:paraId="04E32580" w14:textId="77777777" w:rsidTr="003B30C4">
        <w:tc>
          <w:tcPr>
            <w:tcW w:w="6847" w:type="dxa"/>
          </w:tcPr>
          <w:p w14:paraId="6626BF86" w14:textId="3E1E7D49" w:rsidR="00D873D6" w:rsidRPr="00D873D6" w:rsidRDefault="00D873D6" w:rsidP="00F71FEB">
            <w:pPr>
              <w:spacing w:before="120" w:after="120"/>
              <w:rPr>
                <w:rFonts w:ascii="Arial" w:hAnsi="Arial" w:cs="Arial"/>
                <w:color w:val="74AC3F"/>
                <w:sz w:val="24"/>
                <w:szCs w:val="24"/>
              </w:rPr>
            </w:pPr>
            <w:r w:rsidRPr="00D873D6">
              <w:rPr>
                <w:rFonts w:ascii="Arial" w:hAnsi="Arial" w:cs="Arial"/>
                <w:b/>
                <w:color w:val="74AC3F"/>
                <w:sz w:val="24"/>
                <w:szCs w:val="24"/>
              </w:rPr>
              <w:t>We involve the public at strategic and operational levels</w:t>
            </w:r>
            <w:r w:rsidR="009E4A24">
              <w:rPr>
                <w:rFonts w:ascii="Arial" w:hAnsi="Arial" w:cs="Arial"/>
                <w:b/>
                <w:color w:val="74AC3F"/>
                <w:sz w:val="24"/>
                <w:szCs w:val="24"/>
              </w:rPr>
              <w:t>.</w:t>
            </w:r>
          </w:p>
          <w:p w14:paraId="778E6BD1" w14:textId="77777777" w:rsidR="00D873D6" w:rsidRPr="00D873D6" w:rsidRDefault="00D873D6" w:rsidP="00F71FEB">
            <w:pPr>
              <w:pBdr>
                <w:top w:val="nil"/>
                <w:left w:val="nil"/>
                <w:bottom w:val="nil"/>
                <w:right w:val="nil"/>
                <w:between w:val="nil"/>
              </w:pBdr>
              <w:spacing w:after="120" w:line="259" w:lineRule="auto"/>
              <w:rPr>
                <w:rFonts w:ascii="Arial" w:hAnsi="Arial" w:cs="Arial"/>
                <w:sz w:val="24"/>
                <w:szCs w:val="24"/>
              </w:rPr>
            </w:pPr>
            <w:r w:rsidRPr="00D873D6">
              <w:rPr>
                <w:rFonts w:ascii="Arial" w:hAnsi="Arial" w:cs="Arial"/>
                <w:sz w:val="24"/>
                <w:szCs w:val="24"/>
              </w:rPr>
              <w:t>This year we will:</w:t>
            </w:r>
          </w:p>
          <w:p w14:paraId="2DCB1F99" w14:textId="77777777" w:rsidR="00D873D6" w:rsidRPr="00D873D6" w:rsidRDefault="00D873D6" w:rsidP="00D873D6">
            <w:pPr>
              <w:numPr>
                <w:ilvl w:val="0"/>
                <w:numId w:val="2"/>
              </w:numPr>
              <w:spacing w:line="276" w:lineRule="auto"/>
              <w:rPr>
                <w:rFonts w:ascii="Arial" w:hAnsi="Arial" w:cs="Arial"/>
                <w:color w:val="000000"/>
                <w:sz w:val="24"/>
                <w:szCs w:val="24"/>
              </w:rPr>
            </w:pPr>
            <w:r w:rsidRPr="00D873D6">
              <w:rPr>
                <w:rFonts w:ascii="Arial" w:hAnsi="Arial" w:cs="Arial"/>
                <w:sz w:val="24"/>
                <w:szCs w:val="24"/>
              </w:rPr>
              <w:t>Involve the public in decisions about which projects we will fund this year.</w:t>
            </w:r>
          </w:p>
          <w:p w14:paraId="6487EEFF" w14:textId="00C48ECF" w:rsidR="00D873D6" w:rsidRPr="00D873D6" w:rsidRDefault="00D873D6" w:rsidP="005431DF">
            <w:pPr>
              <w:numPr>
                <w:ilvl w:val="0"/>
                <w:numId w:val="2"/>
              </w:numPr>
              <w:spacing w:line="276" w:lineRule="auto"/>
              <w:rPr>
                <w:rFonts w:ascii="Arial" w:hAnsi="Arial" w:cs="Arial"/>
                <w:color w:val="000000"/>
                <w:sz w:val="24"/>
                <w:szCs w:val="24"/>
              </w:rPr>
            </w:pPr>
            <w:r w:rsidRPr="00D873D6">
              <w:rPr>
                <w:rFonts w:ascii="Arial" w:hAnsi="Arial" w:cs="Arial"/>
                <w:sz w:val="24"/>
                <w:szCs w:val="24"/>
              </w:rPr>
              <w:t>Collect feedback from our public members who have strategic positions to understand if they feel heard and included in decision</w:t>
            </w:r>
            <w:r w:rsidR="005431DF">
              <w:rPr>
                <w:rFonts w:ascii="Arial" w:hAnsi="Arial" w:cs="Arial"/>
                <w:sz w:val="24"/>
                <w:szCs w:val="24"/>
              </w:rPr>
              <w:t>-making.</w:t>
            </w:r>
            <w:r w:rsidRPr="00D873D6">
              <w:rPr>
                <w:rFonts w:ascii="Arial" w:hAnsi="Arial" w:cs="Arial"/>
                <w:sz w:val="24"/>
                <w:szCs w:val="24"/>
              </w:rPr>
              <w:t xml:space="preserve">  </w:t>
            </w:r>
          </w:p>
        </w:tc>
        <w:tc>
          <w:tcPr>
            <w:tcW w:w="2163" w:type="dxa"/>
            <w:vAlign w:val="center"/>
          </w:tcPr>
          <w:p w14:paraId="4DE8923D" w14:textId="77777777" w:rsidR="00D873D6" w:rsidRPr="00647496" w:rsidRDefault="00D873D6" w:rsidP="00F71FEB">
            <w:pPr>
              <w:jc w:val="center"/>
              <w:rPr>
                <w:rFonts w:ascii="Arial" w:hAnsi="Arial" w:cs="Arial"/>
                <w:b/>
                <w:sz w:val="24"/>
                <w:szCs w:val="24"/>
              </w:rPr>
            </w:pPr>
            <w:r w:rsidRPr="00647496">
              <w:rPr>
                <w:rFonts w:ascii="Arial" w:hAnsi="Arial" w:cs="Arial"/>
                <w:noProof/>
                <w:lang w:eastAsia="en-GB"/>
              </w:rPr>
              <w:drawing>
                <wp:inline distT="0" distB="0" distL="0" distR="0" wp14:anchorId="1B928175" wp14:editId="5E7D34DA">
                  <wp:extent cx="720000" cy="72000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720000" cy="720000"/>
                          </a:xfrm>
                          <a:prstGeom prst="rect">
                            <a:avLst/>
                          </a:prstGeom>
                          <a:ln/>
                        </pic:spPr>
                      </pic:pic>
                    </a:graphicData>
                  </a:graphic>
                </wp:inline>
              </w:drawing>
            </w:r>
          </w:p>
          <w:p w14:paraId="6E3F13AF" w14:textId="77777777" w:rsidR="00D873D6" w:rsidRPr="00647496" w:rsidRDefault="00D873D6" w:rsidP="00F71FEB">
            <w:pPr>
              <w:jc w:val="center"/>
              <w:rPr>
                <w:rFonts w:ascii="Arial" w:hAnsi="Arial" w:cs="Arial"/>
                <w:b/>
                <w:sz w:val="24"/>
                <w:szCs w:val="24"/>
              </w:rPr>
            </w:pPr>
            <w:r w:rsidRPr="00647496">
              <w:rPr>
                <w:rFonts w:ascii="Arial" w:hAnsi="Arial" w:cs="Arial"/>
                <w:b/>
                <w:color w:val="74AC3F"/>
                <w:sz w:val="24"/>
                <w:szCs w:val="24"/>
              </w:rPr>
              <w:t>Governance</w:t>
            </w:r>
          </w:p>
        </w:tc>
      </w:tr>
    </w:tbl>
    <w:p w14:paraId="19225BF8" w14:textId="77777777" w:rsidR="00647496" w:rsidRPr="00D873D6" w:rsidRDefault="00647496" w:rsidP="00647496">
      <w:pPr>
        <w:rPr>
          <w:rFonts w:ascii="Arial" w:hAnsi="Arial" w:cs="Arial"/>
        </w:rPr>
      </w:pPr>
    </w:p>
    <w:p w14:paraId="1FBA2AF8" w14:textId="77777777" w:rsidR="003B30C4" w:rsidRDefault="003B30C4" w:rsidP="00647496">
      <w:pPr>
        <w:rPr>
          <w:rFonts w:ascii="Arial" w:hAnsi="Arial" w:cs="Arial"/>
        </w:rPr>
      </w:pPr>
    </w:p>
    <w:p w14:paraId="562F02F9" w14:textId="677A3362" w:rsidR="00647496" w:rsidRPr="00D873D6" w:rsidRDefault="00647496" w:rsidP="00647496">
      <w:pPr>
        <w:rPr>
          <w:rFonts w:ascii="Arial" w:hAnsi="Arial" w:cs="Arial"/>
        </w:rPr>
      </w:pPr>
      <w:r w:rsidRPr="00D873D6">
        <w:rPr>
          <w:rFonts w:ascii="Arial" w:hAnsi="Arial" w:cs="Arial"/>
        </w:rPr>
        <w:t xml:space="preserve">Want to know more? You can read our </w:t>
      </w:r>
      <w:hyperlink r:id="rId14" w:history="1">
        <w:r w:rsidRPr="00733481">
          <w:rPr>
            <w:rStyle w:val="Hyperlink"/>
            <w:rFonts w:ascii="Arial" w:hAnsi="Arial" w:cs="Arial"/>
          </w:rPr>
          <w:t>full strategy</w:t>
        </w:r>
      </w:hyperlink>
      <w:r w:rsidRPr="00733481">
        <w:rPr>
          <w:rFonts w:ascii="Arial" w:hAnsi="Arial" w:cs="Arial"/>
        </w:rPr>
        <w:t>.</w:t>
      </w:r>
      <w:r w:rsidRPr="00D873D6">
        <w:rPr>
          <w:rFonts w:ascii="Arial" w:hAnsi="Arial" w:cs="Arial"/>
        </w:rPr>
        <w:t xml:space="preserve"> </w:t>
      </w:r>
    </w:p>
    <w:p w14:paraId="6491E80A" w14:textId="77777777" w:rsidR="00647496" w:rsidRPr="00D873D6" w:rsidRDefault="00647496" w:rsidP="00647496">
      <w:pPr>
        <w:rPr>
          <w:rFonts w:ascii="Arial" w:hAnsi="Arial" w:cs="Arial"/>
        </w:rPr>
      </w:pPr>
    </w:p>
    <w:p w14:paraId="4C7FC2D1" w14:textId="2EEE0844" w:rsidR="00647496" w:rsidRPr="00D873D6" w:rsidRDefault="00647496" w:rsidP="00647496">
      <w:pPr>
        <w:rPr>
          <w:rFonts w:ascii="Arial" w:hAnsi="Arial" w:cs="Arial"/>
        </w:rPr>
      </w:pPr>
      <w:r w:rsidRPr="00D873D6">
        <w:rPr>
          <w:rFonts w:ascii="Arial" w:hAnsi="Arial" w:cs="Arial"/>
        </w:rPr>
        <w:t xml:space="preserve">Have questions or comments? </w:t>
      </w:r>
      <w:r w:rsidR="00D873D6">
        <w:rPr>
          <w:rFonts w:ascii="Arial" w:hAnsi="Arial" w:cs="Arial"/>
        </w:rPr>
        <w:t xml:space="preserve">Email </w:t>
      </w:r>
      <w:hyperlink r:id="rId15" w:history="1">
        <w:r w:rsidR="00733481" w:rsidRPr="003B7B7B">
          <w:rPr>
            <w:rStyle w:val="Hyperlink"/>
            <w:rFonts w:ascii="Arial" w:hAnsi="Arial" w:cs="Arial"/>
          </w:rPr>
          <w:t>ppiesupport@uhs.nhs.uk</w:t>
        </w:r>
      </w:hyperlink>
      <w:r w:rsidR="00D873D6">
        <w:rPr>
          <w:rFonts w:ascii="Arial" w:hAnsi="Arial" w:cs="Arial"/>
        </w:rPr>
        <w:t xml:space="preserve"> </w:t>
      </w:r>
      <w:r w:rsidRPr="00D873D6">
        <w:rPr>
          <w:rFonts w:ascii="Arial" w:hAnsi="Arial" w:cs="Arial"/>
        </w:rPr>
        <w:t xml:space="preserve"> </w:t>
      </w:r>
    </w:p>
    <w:p w14:paraId="5C619714" w14:textId="7F3E7B92" w:rsidR="00E34BBA" w:rsidRDefault="00000000">
      <w:pPr>
        <w:rPr>
          <w:rFonts w:ascii="Arial" w:hAnsi="Arial" w:cs="Arial"/>
        </w:rPr>
      </w:pPr>
    </w:p>
    <w:p w14:paraId="1B1798A3" w14:textId="73475DC8" w:rsidR="002456BF" w:rsidRDefault="002456BF">
      <w:pPr>
        <w:rPr>
          <w:rFonts w:ascii="Arial" w:hAnsi="Arial" w:cs="Arial"/>
        </w:rPr>
      </w:pPr>
    </w:p>
    <w:p w14:paraId="1A0A4C97" w14:textId="1828F73A" w:rsidR="002456BF" w:rsidRDefault="002456BF">
      <w:pPr>
        <w:rPr>
          <w:rFonts w:ascii="Arial" w:hAnsi="Arial" w:cs="Arial"/>
        </w:rPr>
      </w:pPr>
    </w:p>
    <w:sectPr w:rsidR="002456BF" w:rsidSect="006B74C9">
      <w:head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85A8" w14:textId="77777777" w:rsidR="00603990" w:rsidRDefault="00603990" w:rsidP="00116565">
      <w:r>
        <w:separator/>
      </w:r>
    </w:p>
  </w:endnote>
  <w:endnote w:type="continuationSeparator" w:id="0">
    <w:p w14:paraId="4A21A3C9" w14:textId="77777777" w:rsidR="00603990" w:rsidRDefault="00603990" w:rsidP="00116565">
      <w:r>
        <w:continuationSeparator/>
      </w:r>
    </w:p>
  </w:endnote>
  <w:endnote w:id="1">
    <w:p w14:paraId="2F117E24" w14:textId="77777777" w:rsidR="00647496" w:rsidRDefault="00647496" w:rsidP="00647496">
      <w:pPr>
        <w:pStyle w:val="EndnoteText"/>
      </w:pPr>
      <w:r>
        <w:rPr>
          <w:rStyle w:val="EndnoteReference"/>
        </w:rPr>
        <w:endnoteRef/>
      </w:r>
      <w:r>
        <w:t xml:space="preserve"> Wessex includes Dorset, Hampshire, the Isle of Wight and South Wiltshire.</w:t>
      </w:r>
    </w:p>
  </w:endnote>
  <w:endnote w:id="2">
    <w:p w14:paraId="4D20EB24" w14:textId="77777777" w:rsidR="00647496" w:rsidRDefault="00647496" w:rsidP="00647496">
      <w:pPr>
        <w:pStyle w:val="EndnoteText"/>
      </w:pPr>
      <w:r>
        <w:rPr>
          <w:rStyle w:val="EndnoteReference"/>
        </w:rPr>
        <w:endnoteRef/>
      </w:r>
      <w:r>
        <w:t xml:space="preserve"> Public involvement activities describe activities where research is </w:t>
      </w:r>
      <w:r w:rsidRPr="00224B67">
        <w:t>carried out ‘with’ or ‘by’ members of the public rather than ‘to’, ‘about’ or ‘for’ them.</w:t>
      </w:r>
    </w:p>
  </w:endnote>
  <w:endnote w:id="3">
    <w:p w14:paraId="02E9A989" w14:textId="77777777" w:rsidR="00647496" w:rsidRDefault="00647496" w:rsidP="00647496">
      <w:pPr>
        <w:pStyle w:val="EndnoteText"/>
      </w:pPr>
      <w:r>
        <w:rPr>
          <w:rStyle w:val="EndnoteReference"/>
        </w:rPr>
        <w:endnoteRef/>
      </w:r>
      <w:r>
        <w:t xml:space="preserve"> Engagement activities describe activities </w:t>
      </w:r>
      <w:r w:rsidRPr="00224B67">
        <w:t xml:space="preserve">where information and knowledge about research is provided </w:t>
      </w:r>
      <w:r>
        <w:t xml:space="preserve">to </w:t>
      </w:r>
      <w:r w:rsidRPr="00224B67">
        <w:t>and shared</w:t>
      </w:r>
      <w:r>
        <w:t xml:space="preserve"> with the public. </w:t>
      </w:r>
    </w:p>
  </w:endnote>
  <w:endnote w:id="4">
    <w:p w14:paraId="59199DFF" w14:textId="77777777" w:rsidR="00D873D6" w:rsidRDefault="00D873D6" w:rsidP="00D873D6">
      <w:pPr>
        <w:pStyle w:val="EndnoteText"/>
      </w:pPr>
      <w:r>
        <w:rPr>
          <w:rStyle w:val="EndnoteReference"/>
        </w:rPr>
        <w:endnoteRef/>
      </w:r>
      <w:r>
        <w:t xml:space="preserve"> </w:t>
      </w:r>
      <w:r w:rsidRPr="00484283">
        <w:t xml:space="preserve">Underserved is the term we have chosen to use to describe people who are less well included in research. </w:t>
      </w:r>
      <w:r>
        <w:t>It is important to recognise that underserved groups are context-specific. There is no single, simple definition to describe all underserved groups.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1638" w14:textId="77777777" w:rsidR="00603990" w:rsidRDefault="00603990" w:rsidP="00116565">
      <w:r>
        <w:separator/>
      </w:r>
    </w:p>
  </w:footnote>
  <w:footnote w:type="continuationSeparator" w:id="0">
    <w:p w14:paraId="50762EA0" w14:textId="77777777" w:rsidR="00603990" w:rsidRDefault="00603990" w:rsidP="0011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F48A" w14:textId="77777777" w:rsidR="00116565" w:rsidRPr="00116565" w:rsidRDefault="003C6F30" w:rsidP="00116565">
    <w:pPr>
      <w:pStyle w:val="Header"/>
    </w:pPr>
    <w:r>
      <w:rPr>
        <w:noProof/>
        <w:lang w:eastAsia="en-GB"/>
      </w:rPr>
      <w:drawing>
        <wp:anchor distT="0" distB="0" distL="114300" distR="114300" simplePos="0" relativeHeight="251658240" behindDoc="0" locked="0" layoutInCell="1" allowOverlap="1" wp14:anchorId="37A148D9" wp14:editId="41748B51">
          <wp:simplePos x="0" y="0"/>
          <wp:positionH relativeFrom="column">
            <wp:posOffset>-657225</wp:posOffset>
          </wp:positionH>
          <wp:positionV relativeFrom="paragraph">
            <wp:posOffset>-166370</wp:posOffset>
          </wp:positionV>
          <wp:extent cx="2419350" cy="3314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R _Applied Research Wessex_ logo_RGB_outlined col.png"/>
                  <pic:cNvPicPr/>
                </pic:nvPicPr>
                <pic:blipFill>
                  <a:blip r:embed="rId1">
                    <a:extLst>
                      <a:ext uri="{28A0092B-C50C-407E-A947-70E740481C1C}">
                        <a14:useLocalDpi xmlns:a14="http://schemas.microsoft.com/office/drawing/2010/main" val="0"/>
                      </a:ext>
                    </a:extLst>
                  </a:blip>
                  <a:stretch>
                    <a:fillRect/>
                  </a:stretch>
                </pic:blipFill>
                <pic:spPr>
                  <a:xfrm>
                    <a:off x="0" y="0"/>
                    <a:ext cx="2419350" cy="331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3353"/>
    <w:multiLevelType w:val="hybridMultilevel"/>
    <w:tmpl w:val="6F74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D4713"/>
    <w:multiLevelType w:val="multilevel"/>
    <w:tmpl w:val="D9F64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293659"/>
    <w:multiLevelType w:val="hybridMultilevel"/>
    <w:tmpl w:val="2742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331F3"/>
    <w:multiLevelType w:val="hybridMultilevel"/>
    <w:tmpl w:val="0A36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71392"/>
    <w:multiLevelType w:val="multilevel"/>
    <w:tmpl w:val="EF9856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BD39DE"/>
    <w:multiLevelType w:val="hybridMultilevel"/>
    <w:tmpl w:val="7C3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213335">
    <w:abstractNumId w:val="1"/>
  </w:num>
  <w:num w:numId="2" w16cid:durableId="1788504880">
    <w:abstractNumId w:val="4"/>
  </w:num>
  <w:num w:numId="3" w16cid:durableId="1190795048">
    <w:abstractNumId w:val="3"/>
  </w:num>
  <w:num w:numId="4" w16cid:durableId="113136515">
    <w:abstractNumId w:val="0"/>
  </w:num>
  <w:num w:numId="5" w16cid:durableId="607127700">
    <w:abstractNumId w:val="5"/>
  </w:num>
  <w:num w:numId="6" w16cid:durableId="24611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65"/>
    <w:rsid w:val="00116565"/>
    <w:rsid w:val="001D458D"/>
    <w:rsid w:val="00207AC1"/>
    <w:rsid w:val="002456BF"/>
    <w:rsid w:val="003B30C4"/>
    <w:rsid w:val="003C6F30"/>
    <w:rsid w:val="003F0703"/>
    <w:rsid w:val="005431DF"/>
    <w:rsid w:val="0054783B"/>
    <w:rsid w:val="00603990"/>
    <w:rsid w:val="00647496"/>
    <w:rsid w:val="006B74C9"/>
    <w:rsid w:val="00733481"/>
    <w:rsid w:val="007F7046"/>
    <w:rsid w:val="009E4A24"/>
    <w:rsid w:val="00B33B88"/>
    <w:rsid w:val="00BC7346"/>
    <w:rsid w:val="00D873D6"/>
    <w:rsid w:val="00F6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201F"/>
  <w15:docId w15:val="{8DEBCB89-665C-4C15-90AD-43F32F39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65"/>
    <w:pPr>
      <w:tabs>
        <w:tab w:val="center" w:pos="4680"/>
        <w:tab w:val="right" w:pos="9360"/>
      </w:tabs>
    </w:pPr>
  </w:style>
  <w:style w:type="character" w:customStyle="1" w:styleId="HeaderChar">
    <w:name w:val="Header Char"/>
    <w:basedOn w:val="DefaultParagraphFont"/>
    <w:link w:val="Header"/>
    <w:uiPriority w:val="99"/>
    <w:rsid w:val="00116565"/>
  </w:style>
  <w:style w:type="paragraph" w:styleId="Footer">
    <w:name w:val="footer"/>
    <w:basedOn w:val="Normal"/>
    <w:link w:val="FooterChar"/>
    <w:uiPriority w:val="99"/>
    <w:unhideWhenUsed/>
    <w:rsid w:val="00116565"/>
    <w:pPr>
      <w:tabs>
        <w:tab w:val="center" w:pos="4680"/>
        <w:tab w:val="right" w:pos="9360"/>
      </w:tabs>
    </w:pPr>
  </w:style>
  <w:style w:type="character" w:customStyle="1" w:styleId="FooterChar">
    <w:name w:val="Footer Char"/>
    <w:basedOn w:val="DefaultParagraphFont"/>
    <w:link w:val="Footer"/>
    <w:uiPriority w:val="99"/>
    <w:rsid w:val="00116565"/>
  </w:style>
  <w:style w:type="paragraph" w:styleId="EndnoteText">
    <w:name w:val="endnote text"/>
    <w:basedOn w:val="Normal"/>
    <w:link w:val="EndnoteTextChar"/>
    <w:uiPriority w:val="99"/>
    <w:semiHidden/>
    <w:unhideWhenUsed/>
    <w:rsid w:val="00647496"/>
    <w:rPr>
      <w:rFonts w:ascii="Arial" w:eastAsia="Arial" w:hAnsi="Arial" w:cs="Arial"/>
      <w:sz w:val="20"/>
      <w:szCs w:val="20"/>
      <w:lang w:eastAsia="en-GB"/>
    </w:rPr>
  </w:style>
  <w:style w:type="character" w:customStyle="1" w:styleId="EndnoteTextChar">
    <w:name w:val="Endnote Text Char"/>
    <w:basedOn w:val="DefaultParagraphFont"/>
    <w:link w:val="EndnoteText"/>
    <w:uiPriority w:val="99"/>
    <w:semiHidden/>
    <w:rsid w:val="00647496"/>
    <w:rPr>
      <w:rFonts w:ascii="Arial" w:eastAsia="Arial" w:hAnsi="Arial" w:cs="Arial"/>
      <w:sz w:val="20"/>
      <w:szCs w:val="20"/>
      <w:lang w:eastAsia="en-GB"/>
    </w:rPr>
  </w:style>
  <w:style w:type="character" w:styleId="EndnoteReference">
    <w:name w:val="endnote reference"/>
    <w:basedOn w:val="DefaultParagraphFont"/>
    <w:uiPriority w:val="99"/>
    <w:semiHidden/>
    <w:unhideWhenUsed/>
    <w:rsid w:val="00647496"/>
    <w:rPr>
      <w:vertAlign w:val="superscript"/>
    </w:rPr>
  </w:style>
  <w:style w:type="paragraph" w:styleId="ListParagraph">
    <w:name w:val="List Paragraph"/>
    <w:basedOn w:val="Normal"/>
    <w:uiPriority w:val="34"/>
    <w:qFormat/>
    <w:rsid w:val="00647496"/>
    <w:pPr>
      <w:spacing w:line="276" w:lineRule="auto"/>
      <w:ind w:left="720"/>
      <w:contextualSpacing/>
    </w:pPr>
    <w:rPr>
      <w:rFonts w:ascii="Arial" w:eastAsia="Arial" w:hAnsi="Arial" w:cs="Arial"/>
      <w:sz w:val="22"/>
      <w:szCs w:val="22"/>
      <w:lang w:eastAsia="en-GB"/>
    </w:rPr>
  </w:style>
  <w:style w:type="table" w:styleId="TableGrid">
    <w:name w:val="Table Grid"/>
    <w:basedOn w:val="TableNormal"/>
    <w:uiPriority w:val="39"/>
    <w:rsid w:val="00D873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3D6"/>
    <w:rPr>
      <w:color w:val="0563C1" w:themeColor="hyperlink"/>
      <w:u w:val="single"/>
    </w:rPr>
  </w:style>
  <w:style w:type="character" w:styleId="CommentReference">
    <w:name w:val="annotation reference"/>
    <w:basedOn w:val="DefaultParagraphFont"/>
    <w:uiPriority w:val="99"/>
    <w:semiHidden/>
    <w:unhideWhenUsed/>
    <w:rsid w:val="00D873D6"/>
    <w:rPr>
      <w:sz w:val="16"/>
      <w:szCs w:val="16"/>
    </w:rPr>
  </w:style>
  <w:style w:type="paragraph" w:styleId="CommentText">
    <w:name w:val="annotation text"/>
    <w:basedOn w:val="Normal"/>
    <w:link w:val="CommentTextChar"/>
    <w:uiPriority w:val="99"/>
    <w:semiHidden/>
    <w:unhideWhenUsed/>
    <w:rsid w:val="00D873D6"/>
    <w:rPr>
      <w:sz w:val="20"/>
      <w:szCs w:val="20"/>
    </w:rPr>
  </w:style>
  <w:style w:type="character" w:customStyle="1" w:styleId="CommentTextChar">
    <w:name w:val="Comment Text Char"/>
    <w:basedOn w:val="DefaultParagraphFont"/>
    <w:link w:val="CommentText"/>
    <w:uiPriority w:val="99"/>
    <w:semiHidden/>
    <w:rsid w:val="00D873D6"/>
    <w:rPr>
      <w:sz w:val="20"/>
      <w:szCs w:val="20"/>
    </w:rPr>
  </w:style>
  <w:style w:type="paragraph" w:styleId="CommentSubject">
    <w:name w:val="annotation subject"/>
    <w:basedOn w:val="CommentText"/>
    <w:next w:val="CommentText"/>
    <w:link w:val="CommentSubjectChar"/>
    <w:uiPriority w:val="99"/>
    <w:semiHidden/>
    <w:unhideWhenUsed/>
    <w:rsid w:val="00D873D6"/>
    <w:rPr>
      <w:b/>
      <w:bCs/>
    </w:rPr>
  </w:style>
  <w:style w:type="character" w:customStyle="1" w:styleId="CommentSubjectChar">
    <w:name w:val="Comment Subject Char"/>
    <w:basedOn w:val="CommentTextChar"/>
    <w:link w:val="CommentSubject"/>
    <w:uiPriority w:val="99"/>
    <w:semiHidden/>
    <w:rsid w:val="00D873D6"/>
    <w:rPr>
      <w:b/>
      <w:bCs/>
      <w:sz w:val="20"/>
      <w:szCs w:val="20"/>
    </w:rPr>
  </w:style>
  <w:style w:type="paragraph" w:styleId="BalloonText">
    <w:name w:val="Balloon Text"/>
    <w:basedOn w:val="Normal"/>
    <w:link w:val="BalloonTextChar"/>
    <w:uiPriority w:val="99"/>
    <w:semiHidden/>
    <w:unhideWhenUsed/>
    <w:rsid w:val="00D87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3D6"/>
    <w:rPr>
      <w:rFonts w:ascii="Segoe UI" w:hAnsi="Segoe UI" w:cs="Segoe UI"/>
      <w:sz w:val="18"/>
      <w:szCs w:val="18"/>
    </w:rPr>
  </w:style>
  <w:style w:type="paragraph" w:styleId="Revision">
    <w:name w:val="Revision"/>
    <w:hidden/>
    <w:uiPriority w:val="99"/>
    <w:semiHidden/>
    <w:rsid w:val="005431DF"/>
  </w:style>
  <w:style w:type="character" w:styleId="UnresolvedMention">
    <w:name w:val="Unresolved Mention"/>
    <w:basedOn w:val="DefaultParagraphFont"/>
    <w:uiPriority w:val="99"/>
    <w:semiHidden/>
    <w:unhideWhenUsed/>
    <w:rsid w:val="00F65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ppiesupport@uhs.nhs.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6fe13210-edbb-4d7c-99ba-b393e103e25c.usrfiles.com/ugd/6fe132_f5a5a0b47ed14eaba0556c90a74c098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22C1-8B1B-46F5-A726-2B0ACF34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J.</dc:creator>
  <cp:lastModifiedBy>Jamie Stevenson</cp:lastModifiedBy>
  <cp:revision>2</cp:revision>
  <dcterms:created xsi:type="dcterms:W3CDTF">2023-03-28T09:10:00Z</dcterms:created>
  <dcterms:modified xsi:type="dcterms:W3CDTF">2023-03-28T09:10:00Z</dcterms:modified>
</cp:coreProperties>
</file>